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1EFC5D6" w14:textId="4DA74FF8" w:rsidR="00E9336C" w:rsidRDefault="00DA0A2E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Erfolgsformat „</w:t>
      </w:r>
      <w:r w:rsidRPr="00DA0A2E">
        <w:rPr>
          <w:rFonts w:asciiTheme="minorHAnsi" w:hAnsiTheme="minorHAnsi"/>
          <w:b/>
          <w:bCs/>
          <w:sz w:val="28"/>
          <w:szCs w:val="28"/>
        </w:rPr>
        <w:t>GRS Azubi-Camp</w:t>
      </w:r>
      <w:r>
        <w:rPr>
          <w:rFonts w:asciiTheme="minorHAnsi" w:hAnsiTheme="minorHAnsi"/>
          <w:b/>
          <w:bCs/>
          <w:sz w:val="28"/>
          <w:szCs w:val="28"/>
        </w:rPr>
        <w:t>“</w:t>
      </w:r>
      <w:r w:rsidRPr="00DA0A2E">
        <w:rPr>
          <w:rFonts w:asciiTheme="minorHAnsi" w:hAnsiTheme="minorHAnsi"/>
          <w:b/>
          <w:bCs/>
          <w:sz w:val="28"/>
          <w:szCs w:val="28"/>
        </w:rPr>
        <w:t xml:space="preserve"> geht in die zweite Runde</w:t>
      </w:r>
    </w:p>
    <w:p w14:paraId="11854D0F" w14:textId="77777777" w:rsidR="00042663" w:rsidRPr="00E9336C" w:rsidRDefault="00042663" w:rsidP="00320623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14:paraId="125CFA41" w14:textId="5D085598" w:rsidR="00DA0A2E" w:rsidRDefault="00DA0A2E" w:rsidP="00320623">
      <w:pPr>
        <w:tabs>
          <w:tab w:val="left" w:pos="3709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CC1F79">
        <w:rPr>
          <w:rFonts w:asciiTheme="minorHAnsi" w:hAnsiTheme="minorHAnsi"/>
          <w:b/>
          <w:bCs/>
          <w:sz w:val="22"/>
          <w:szCs w:val="22"/>
        </w:rPr>
        <w:t>Köln</w:t>
      </w:r>
      <w:r w:rsidR="00FE7473" w:rsidRPr="00CC1F79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Pr="00CC1F79">
        <w:rPr>
          <w:rFonts w:asciiTheme="minorHAnsi" w:hAnsiTheme="minorHAnsi"/>
          <w:b/>
          <w:bCs/>
          <w:sz w:val="22"/>
          <w:szCs w:val="22"/>
        </w:rPr>
        <w:t>12.06.2024</w:t>
      </w:r>
      <w:r w:rsidR="00FE7473" w:rsidRPr="00CC1F79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CC1F79">
        <w:rPr>
          <w:rFonts w:asciiTheme="minorHAnsi" w:hAnsiTheme="minorHAnsi"/>
          <w:b/>
          <w:bCs/>
          <w:sz w:val="22"/>
          <w:szCs w:val="22"/>
        </w:rPr>
        <w:t xml:space="preserve">2023 </w:t>
      </w:r>
      <w:r w:rsidRPr="00DA0A2E">
        <w:rPr>
          <w:rFonts w:asciiTheme="minorHAnsi" w:hAnsiTheme="minorHAnsi"/>
          <w:b/>
          <w:bCs/>
          <w:sz w:val="22"/>
          <w:szCs w:val="22"/>
        </w:rPr>
        <w:t>startete</w:t>
      </w:r>
      <w:r>
        <w:rPr>
          <w:rFonts w:asciiTheme="minorHAnsi" w:hAnsiTheme="minorHAnsi"/>
          <w:b/>
          <w:bCs/>
          <w:sz w:val="22"/>
          <w:szCs w:val="22"/>
        </w:rPr>
        <w:t>n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d</w:t>
      </w:r>
      <w:r w:rsidRPr="00DA0A2E">
        <w:rPr>
          <w:rFonts w:asciiTheme="minorHAnsi" w:hAnsiTheme="minorHAnsi"/>
          <w:b/>
          <w:bCs/>
          <w:sz w:val="22"/>
          <w:szCs w:val="22"/>
        </w:rPr>
        <w:t>ie Goodyear Retail Systems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A0A2E">
        <w:rPr>
          <w:rFonts w:asciiTheme="minorHAnsi" w:hAnsiTheme="minorHAnsi"/>
          <w:b/>
          <w:bCs/>
          <w:sz w:val="22"/>
          <w:szCs w:val="22"/>
        </w:rPr>
        <w:t>mit dem ersten GRS-Azubi-Camp</w:t>
      </w:r>
      <w:r>
        <w:rPr>
          <w:rFonts w:asciiTheme="minorHAnsi" w:hAnsiTheme="minorHAnsi"/>
          <w:b/>
          <w:bCs/>
          <w:sz w:val="22"/>
          <w:szCs w:val="22"/>
        </w:rPr>
        <w:t xml:space="preserve"> –</w:t>
      </w:r>
    </w:p>
    <w:p w14:paraId="474606AC" w14:textId="2D98E475" w:rsidR="00042663" w:rsidRDefault="00DA0A2E" w:rsidP="00320623">
      <w:pPr>
        <w:tabs>
          <w:tab w:val="left" w:pos="3709"/>
        </w:tabs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ein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 2-jährige</w:t>
      </w:r>
      <w:r>
        <w:rPr>
          <w:rFonts w:asciiTheme="minorHAnsi" w:hAnsiTheme="minorHAnsi"/>
          <w:b/>
          <w:bCs/>
          <w:sz w:val="22"/>
          <w:szCs w:val="22"/>
        </w:rPr>
        <w:t>s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 Weiterbildungsprogramm </w:t>
      </w:r>
      <w:r>
        <w:rPr>
          <w:rFonts w:asciiTheme="minorHAnsi" w:hAnsiTheme="minorHAnsi"/>
          <w:b/>
          <w:bCs/>
          <w:sz w:val="22"/>
          <w:szCs w:val="22"/>
        </w:rPr>
        <w:t xml:space="preserve">speziell </w:t>
      </w:r>
      <w:r w:rsidRPr="00DA0A2E">
        <w:rPr>
          <w:rFonts w:asciiTheme="minorHAnsi" w:hAnsiTheme="minorHAnsi"/>
          <w:b/>
          <w:bCs/>
          <w:sz w:val="22"/>
          <w:szCs w:val="22"/>
        </w:rPr>
        <w:t>für die Auszubildenden der angeschlossenen Reifenfachhandels-Betriebe.</w:t>
      </w:r>
      <w:r w:rsidR="0004266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Das Format kam bei den ausbildenden Betrieben so gut an, dass </w:t>
      </w:r>
      <w:r w:rsidR="00430CCB">
        <w:rPr>
          <w:rFonts w:asciiTheme="minorHAnsi" w:hAnsiTheme="minorHAnsi"/>
          <w:b/>
          <w:bCs/>
          <w:sz w:val="22"/>
          <w:szCs w:val="22"/>
        </w:rPr>
        <w:t xml:space="preserve">jetzt </w:t>
      </w:r>
      <w:r w:rsidR="00042663">
        <w:rPr>
          <w:rFonts w:asciiTheme="minorHAnsi" w:hAnsiTheme="minorHAnsi"/>
          <w:b/>
          <w:bCs/>
          <w:sz w:val="22"/>
          <w:szCs w:val="22"/>
        </w:rPr>
        <w:t xml:space="preserve">im Juni 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das nächste GRS-Azubi-Camp 2024/25 </w:t>
      </w:r>
      <w:r w:rsidR="00042663">
        <w:rPr>
          <w:rFonts w:asciiTheme="minorHAnsi" w:hAnsiTheme="minorHAnsi"/>
          <w:b/>
          <w:bCs/>
          <w:sz w:val="22"/>
          <w:szCs w:val="22"/>
        </w:rPr>
        <w:t>starten konnte</w:t>
      </w:r>
      <w:r w:rsidRPr="00DA0A2E"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09D166B6" w14:textId="77777777" w:rsidR="00EF22D3" w:rsidRDefault="00EF22D3" w:rsidP="00320623">
      <w:pPr>
        <w:tabs>
          <w:tab w:val="left" w:pos="3709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8DAB851" w14:textId="16A5591A" w:rsidR="00EF22D3" w:rsidRDefault="00EF22D3" w:rsidP="00320623">
      <w:pPr>
        <w:tabs>
          <w:tab w:val="left" w:pos="3709"/>
        </w:tabs>
        <w:jc w:val="both"/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F22D3">
        <w:rPr>
          <w:rFonts w:asciiTheme="minorHAnsi" w:hAnsiTheme="minorHAnsi"/>
          <w:sz w:val="22"/>
          <w:szCs w:val="22"/>
        </w:rPr>
        <w:t xml:space="preserve">Anfang Juni lud die GRS beide Azubi-Camp-Gruppen zu </w:t>
      </w:r>
      <w:r w:rsidR="00FA592B">
        <w:rPr>
          <w:rFonts w:asciiTheme="minorHAnsi" w:hAnsiTheme="minorHAnsi"/>
          <w:sz w:val="22"/>
          <w:szCs w:val="22"/>
        </w:rPr>
        <w:t>ihren Modulen</w:t>
      </w:r>
      <w:r w:rsidRPr="00EF22D3">
        <w:rPr>
          <w:rFonts w:asciiTheme="minorHAnsi" w:hAnsiTheme="minorHAnsi"/>
          <w:sz w:val="22"/>
          <w:szCs w:val="22"/>
        </w:rPr>
        <w:t xml:space="preserve"> in </w:t>
      </w:r>
      <w:r w:rsidR="00FA592B">
        <w:rPr>
          <w:rFonts w:asciiTheme="minorHAnsi" w:hAnsiTheme="minorHAnsi"/>
          <w:sz w:val="22"/>
          <w:szCs w:val="22"/>
        </w:rPr>
        <w:t xml:space="preserve">die </w:t>
      </w:r>
      <w:r w:rsidRPr="00EF22D3">
        <w:rPr>
          <w:rFonts w:asciiTheme="minorHAnsi" w:hAnsiTheme="minorHAnsi"/>
          <w:sz w:val="22"/>
          <w:szCs w:val="22"/>
        </w:rPr>
        <w:t>Kölner Zentrale ein.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Im letzten Jahr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starteten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die ersten 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22 Azubis aus Premio- und HMI-Betrieben ergänzend zu ihrer Ausbildung mit dem GRS Azubi-Camp</w:t>
      </w:r>
      <w:r w:rsidR="00FA59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Bei ihrem diesjährigen Besuch in Köln lernten </w:t>
      </w:r>
      <w:r w:rsidR="00C73BEB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ie im 3. Praxisteil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des Programms neue Kommunikationstechniken kennen</w:t>
      </w:r>
      <w:r w:rsidR="00FA592B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A592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Am Tag darauf 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besuchten </w:t>
      </w:r>
      <w:r w:rsidR="00FA592B">
        <w:rPr>
          <w:rFonts w:asciiTheme="minorHAnsi" w:hAnsiTheme="minorHAnsi" w:cstheme="minorHAnsi"/>
          <w:sz w:val="22"/>
          <w:szCs w:val="22"/>
          <w:shd w:val="clear" w:color="auto" w:fill="FFFFFF"/>
        </w:rPr>
        <w:t>sie begleitet von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Christian Lehmann, Leiter GRS Trainingscenter, Thorsten Brückner, Leiter Autoservice GRS, und </w:t>
      </w:r>
      <w:r w:rsidR="00366EE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PR-Leiterin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Anne Reck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„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proofErr w:type="spellStart"/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Tire</w:t>
      </w:r>
      <w:proofErr w:type="spellEnd"/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Cologne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“, wo sie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 den Ständen des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hyperlink r:id="rId6" w:tgtFrame="_self" w:history="1">
        <w:r w:rsidR="00DA0A2E" w:rsidRPr="00DA0A2E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  <w:u w:val="none"/>
            <w:shd w:val="clear" w:color="auto" w:fill="FFFFFF"/>
          </w:rPr>
          <w:t>Bundesverband Reifenhandel und Vulkaniseur-Handwerk e.V.</w:t>
        </w:r>
      </w:hyperlink>
      <w:r w:rsidR="00DA0A2E" w:rsidRPr="00DA0A2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der Firma Würth und des Felgenherstellers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Borbet</w:t>
      </w:r>
      <w:r w:rsidR="000A06CD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A592B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mit informativen Kurz-Vorträgen persönlich begrüßt wurden.</w:t>
      </w:r>
    </w:p>
    <w:p w14:paraId="365EC1F9" w14:textId="726351D5" w:rsidR="00320623" w:rsidRDefault="00EF22D3" w:rsidP="00320623">
      <w:pPr>
        <w:tabs>
          <w:tab w:val="left" w:pos="370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Nur zwei Tage später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reisten 15 neue</w:t>
      </w:r>
      <w:r w:rsid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Teilnehmende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zum Azubi-Camp 2</w:t>
      </w:r>
      <w:r w:rsid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A592B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nach </w:t>
      </w:r>
      <w:r w:rsid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Köln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an</w:t>
      </w:r>
      <w:r w:rsidR="00FA592B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und wurden </w:t>
      </w:r>
      <w:r w:rsidR="00366EEB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herzlich vom Systemgeber empfangen</w:t>
      </w:r>
      <w:r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Nach der Abteilungsvorstellung und </w:t>
      </w:r>
      <w:r w:rsidR="00D07318" w:rsidRPr="000721D5">
        <w:rPr>
          <w:rFonts w:asciiTheme="minorHAnsi" w:hAnsiTheme="minorHAnsi" w:cstheme="minorHAnsi"/>
          <w:sz w:val="22"/>
          <w:szCs w:val="22"/>
          <w:shd w:val="clear" w:color="auto" w:fill="FFFFFF"/>
        </w:rPr>
        <w:t>einer</w:t>
      </w:r>
      <w:r w:rsidR="00D0731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Speeddating-Runde in der </w:t>
      </w:r>
      <w:r w:rsidR="004F7A06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GRS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>-Z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entrale 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waren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alle sehr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überrascht, in wie vielen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verschiedenen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Bereichen </w:t>
      </w:r>
      <w:r w:rsidR="00BE30EF">
        <w:rPr>
          <w:rFonts w:asciiTheme="minorHAnsi" w:hAnsiTheme="minorHAnsi" w:cstheme="minorHAnsi"/>
          <w:sz w:val="22"/>
          <w:szCs w:val="22"/>
          <w:shd w:val="clear" w:color="auto" w:fill="FFFFFF"/>
        </w:rPr>
        <w:t>die GRS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die Betriebe unterstützt.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Natürlich ging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es 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>auch für diese Nachwuchstalente am</w:t>
      </w:r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nächsten Tag zur „The </w:t>
      </w:r>
      <w:proofErr w:type="spellStart"/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Tire</w:t>
      </w:r>
      <w:proofErr w:type="spellEnd"/>
      <w:r w:rsidR="00DA0A2E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Cologne“.</w:t>
      </w:r>
      <w:r w:rsidR="00DA0A2E"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F7A06" w:rsidRP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Messeaussteller, Mitarbeite</w:t>
      </w:r>
      <w:r w:rsid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>nde</w:t>
      </w:r>
      <w:r w:rsidR="004F7A06" w:rsidRP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der GRS-Systemzentrale und Auszubildende schätzten den intensiven, generationsübergreifenden Austausch und genossen die Gelegenheit, miteinander in Kontakt zu treten.</w:t>
      </w:r>
      <w:r w:rsidR="004F7A06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DA0A2E" w:rsidRPr="00DA0A2E">
        <w:rPr>
          <w:rFonts w:asciiTheme="minorHAnsi" w:hAnsiTheme="minorHAnsi" w:cstheme="minorHAnsi"/>
          <w:sz w:val="22"/>
          <w:szCs w:val="22"/>
        </w:rPr>
        <w:t>HMI-Leiter Edgar Zühlke brachte e</w:t>
      </w:r>
      <w:r w:rsidR="004F7A06">
        <w:rPr>
          <w:rFonts w:asciiTheme="minorHAnsi" w:hAnsiTheme="minorHAnsi" w:cstheme="minorHAnsi"/>
          <w:sz w:val="22"/>
          <w:szCs w:val="22"/>
        </w:rPr>
        <w:t xml:space="preserve">s </w:t>
      </w:r>
      <w:r w:rsidR="000A06CD">
        <w:rPr>
          <w:rFonts w:asciiTheme="minorHAnsi" w:hAnsiTheme="minorHAnsi" w:cstheme="minorHAnsi"/>
          <w:sz w:val="22"/>
          <w:szCs w:val="22"/>
        </w:rPr>
        <w:t>treffend</w:t>
      </w:r>
      <w:r w:rsidR="00DA0A2E" w:rsidRPr="00DA0A2E">
        <w:rPr>
          <w:rFonts w:asciiTheme="minorHAnsi" w:hAnsiTheme="minorHAnsi" w:cstheme="minorHAnsi"/>
          <w:sz w:val="22"/>
          <w:szCs w:val="22"/>
        </w:rPr>
        <w:t xml:space="preserve"> auf den Punkt: „Da soll noch einmal </w:t>
      </w:r>
      <w:r w:rsidR="00DA0A2E" w:rsidRPr="00DA0A2E">
        <w:rPr>
          <w:rFonts w:asciiTheme="minorHAnsi" w:hAnsiTheme="minorHAnsi" w:cstheme="minorHAnsi"/>
          <w:sz w:val="22"/>
          <w:szCs w:val="22"/>
        </w:rPr>
        <w:lastRenderedPageBreak/>
        <w:t xml:space="preserve">jemand sagen, die Gen Z hätte keine Power. Es hat viel Spaß gemacht, mal ganz andere Fragen zu beantworten und mit der Zukunft unserer Betriebe </w:t>
      </w:r>
      <w:r w:rsidR="004F7A06">
        <w:rPr>
          <w:rFonts w:asciiTheme="minorHAnsi" w:hAnsiTheme="minorHAnsi" w:cstheme="minorHAnsi"/>
          <w:sz w:val="22"/>
          <w:szCs w:val="22"/>
        </w:rPr>
        <w:t>ins Gespräch zu kommen</w:t>
      </w:r>
      <w:r w:rsidR="00DA0A2E" w:rsidRPr="00DA0A2E">
        <w:rPr>
          <w:rFonts w:asciiTheme="minorHAnsi" w:hAnsiTheme="minorHAnsi" w:cstheme="minorHAnsi"/>
          <w:sz w:val="22"/>
          <w:szCs w:val="22"/>
        </w:rPr>
        <w:t xml:space="preserve">. </w:t>
      </w:r>
      <w:r w:rsidR="004F7A06">
        <w:rPr>
          <w:rFonts w:asciiTheme="minorHAnsi" w:hAnsiTheme="minorHAnsi" w:cstheme="minorHAnsi"/>
          <w:sz w:val="22"/>
          <w:szCs w:val="22"/>
        </w:rPr>
        <w:t>Z</w:t>
      </w:r>
      <w:r w:rsidR="00DA0A2E" w:rsidRPr="00DA0A2E">
        <w:rPr>
          <w:rFonts w:asciiTheme="minorHAnsi" w:hAnsiTheme="minorHAnsi" w:cstheme="minorHAnsi"/>
          <w:sz w:val="22"/>
          <w:szCs w:val="22"/>
        </w:rPr>
        <w:t>wei aufgeweckte</w:t>
      </w:r>
      <w:r w:rsidR="004F7A06">
        <w:rPr>
          <w:rFonts w:asciiTheme="minorHAnsi" w:hAnsiTheme="minorHAnsi" w:cstheme="minorHAnsi"/>
          <w:sz w:val="22"/>
          <w:szCs w:val="22"/>
        </w:rPr>
        <w:t>,</w:t>
      </w:r>
      <w:r w:rsidR="00DA0A2E" w:rsidRPr="00DA0A2E">
        <w:rPr>
          <w:rFonts w:asciiTheme="minorHAnsi" w:hAnsiTheme="minorHAnsi" w:cstheme="minorHAnsi"/>
          <w:sz w:val="22"/>
          <w:szCs w:val="22"/>
        </w:rPr>
        <w:t xml:space="preserve"> tolle</w:t>
      </w:r>
    </w:p>
    <w:p w14:paraId="7E93A6F5" w14:textId="1ECCEAF7" w:rsidR="00DA0A2E" w:rsidRPr="00042663" w:rsidRDefault="00DA0A2E" w:rsidP="002B7DC7">
      <w:pPr>
        <w:tabs>
          <w:tab w:val="left" w:pos="3709"/>
        </w:tabs>
        <w:rPr>
          <w:rStyle w:val="white-space-pre"/>
          <w:rFonts w:asciiTheme="minorHAnsi" w:hAnsiTheme="minorHAnsi"/>
          <w:b/>
          <w:bCs/>
          <w:sz w:val="22"/>
          <w:szCs w:val="22"/>
        </w:rPr>
      </w:pPr>
      <w:r w:rsidRPr="00DA0A2E">
        <w:rPr>
          <w:rFonts w:asciiTheme="minorHAnsi" w:hAnsiTheme="minorHAnsi" w:cstheme="minorHAnsi"/>
          <w:sz w:val="22"/>
          <w:szCs w:val="22"/>
        </w:rPr>
        <w:t>Gruppen, die da bei uns zu Besuch waren.“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528C29E6" w14:textId="713B0FBC" w:rsidR="000A06CD" w:rsidRPr="000A06CD" w:rsidRDefault="004105BD" w:rsidP="00320623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Lernen unter </w:t>
      </w:r>
      <w:r w:rsidR="00366EE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leichgesinnten</w:t>
      </w:r>
      <w:r w:rsidR="000A06CD" w:rsidRPr="000A06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fernab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vom</w:t>
      </w:r>
      <w:r w:rsidR="000A06CD" w:rsidRPr="000A06C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Alltagsbetrieb</w:t>
      </w:r>
    </w:p>
    <w:p w14:paraId="7BDE3DBF" w14:textId="77777777" w:rsidR="000A06CD" w:rsidRDefault="000A06CD" w:rsidP="00320623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178EF8E" w14:textId="1CFD1498" w:rsidR="00DA0A2E" w:rsidRDefault="00DA0A2E" w:rsidP="00320623">
      <w:pPr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In vier Blöcken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 Präsenz und vier ergänzenden Webinaren,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verteilt über zwei Jahre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>l</w:t>
      </w:r>
      <w:r w:rsidR="004F7A06"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ässt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die GRS die jungen 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>Talente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des GRS-Netzwerks außerhalb der eigenen Ausbildungsbetriebe über den Tellerrand schauen. Im ersten Modul lernen die</w:t>
      </w:r>
      <w:r w:rsidR="004F7A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angehenden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Kfz-Mechatroniker/-innen, Mechaniker/-innen der Vulkanisationstechnik und kaufmännischen Angestellten die GRS-Systemzentrale in Köln kennen. Ein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Tag lang werden Strukturen, Aufgaben und die Menschen vorgestellt, die den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Partner-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Betrieben tagtäglich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zur Seite stehen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und die Prozesse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in</w:t>
      </w:r>
      <w:r w:rsidR="005944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der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Werkstatt und</w:t>
      </w:r>
      <w:r w:rsidR="005944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F6AD5">
        <w:rPr>
          <w:rFonts w:asciiTheme="minorHAnsi" w:hAnsiTheme="minorHAnsi" w:cstheme="minorHAnsi"/>
          <w:sz w:val="22"/>
          <w:szCs w:val="22"/>
          <w:shd w:val="clear" w:color="auto" w:fill="FFFFFF"/>
        </w:rPr>
        <w:t>im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Verkauf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immer weiter optimieren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Im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2.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Modul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bildet der Besuch des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Goodyear-Standort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Hanau mit einem Blick ins Werk, auf die Reifenproduktion und Reifentechnik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den Schwerpunkt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Pr="00DA0A2E">
        <w:rPr>
          <w:rStyle w:val="white-space-pre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Besuche auf der Branchen-Leitmesse „The </w:t>
      </w:r>
      <w:proofErr w:type="spellStart"/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Tire</w:t>
      </w:r>
      <w:proofErr w:type="spellEnd"/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Cologne“ und der Leistungsshow für Tuning und sportliche Serienfahrzeuge „Essen Motor</w:t>
      </w:r>
      <w:r w:rsidR="00D04CF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>how“ bilden kombiniert mit Workshop-Schwerpunkten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zu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„Kommunikation im Betrieb und Konfliktbewältigung“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sowie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„Reifenfachhandelsbetrieb in der Zukunft“ 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>weitere Fokusthemen des Azubi-Camp-Programms. In enger Zusammenarbeit mit dem GRS-Trainingscenter unter Leitung von Christian Lehmann entwickelt, bildet das Azubi-Camp eine abwechslungsreiche und fachlich sehr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gute Ergänzung zum</w:t>
      </w:r>
      <w:r w:rsidR="000A06C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normalen</w:t>
      </w:r>
      <w:r w:rsidRPr="00DA0A2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Ausbildungsalltag in den Betrieben.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171268B3" w14:textId="50692823" w:rsidR="00D935E8" w:rsidRPr="005060CB" w:rsidRDefault="00DA0A2E" w:rsidP="009C53D5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  <w:shd w:val="clear" w:color="auto" w:fill="FFFFFF"/>
        </w:rPr>
        <w:br/>
      </w:r>
      <w:r w:rsidR="00D935E8" w:rsidRPr="005060CB">
        <w:rPr>
          <w:rFonts w:asciiTheme="minorHAnsi" w:hAnsiTheme="minorHAnsi" w:cstheme="minorHAnsi"/>
          <w:sz w:val="22"/>
          <w:szCs w:val="22"/>
        </w:rPr>
        <w:t>Fotos (© G</w:t>
      </w:r>
      <w:r w:rsidR="00132134" w:rsidRPr="005060CB">
        <w:rPr>
          <w:rFonts w:asciiTheme="minorHAnsi" w:hAnsiTheme="minorHAnsi" w:cstheme="minorHAnsi"/>
          <w:sz w:val="22"/>
          <w:szCs w:val="22"/>
        </w:rPr>
        <w:t>RS</w:t>
      </w:r>
      <w:r w:rsidR="00D935E8" w:rsidRPr="005060CB">
        <w:rPr>
          <w:rFonts w:asciiTheme="minorHAnsi" w:hAnsiTheme="minorHAnsi" w:cstheme="minorHAnsi"/>
          <w:sz w:val="22"/>
          <w:szCs w:val="22"/>
        </w:rPr>
        <w:t>):</w:t>
      </w:r>
    </w:p>
    <w:p w14:paraId="591B6158" w14:textId="6E3BCBF6" w:rsidR="00E9336C" w:rsidRDefault="005060CB" w:rsidP="005060CB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Die zweite Azubi-</w:t>
      </w:r>
      <w:r w:rsidR="00514B93">
        <w:rPr>
          <w:rFonts w:ascii="Calibri" w:hAnsi="Calibri"/>
          <w:sz w:val="22"/>
          <w:szCs w:val="22"/>
        </w:rPr>
        <w:t>Camp-</w:t>
      </w:r>
      <w:r>
        <w:rPr>
          <w:rFonts w:ascii="Calibri" w:hAnsi="Calibri"/>
          <w:sz w:val="22"/>
          <w:szCs w:val="22"/>
        </w:rPr>
        <w:t xml:space="preserve">Gruppe bei ihrem Start in </w:t>
      </w:r>
      <w:r w:rsidR="00514B93">
        <w:rPr>
          <w:rFonts w:ascii="Calibri" w:hAnsi="Calibri"/>
          <w:sz w:val="22"/>
          <w:szCs w:val="22"/>
        </w:rPr>
        <w:t xml:space="preserve">der Kölner GRS-Zentrale </w:t>
      </w:r>
    </w:p>
    <w:p w14:paraId="0586F0C4" w14:textId="36B2D583" w:rsidR="00514B93" w:rsidRDefault="009A37AD" w:rsidP="005060CB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Erste Vorstellungsrunde mit GRS-Geschäftsführer Goran Zubanovic </w:t>
      </w:r>
    </w:p>
    <w:p w14:paraId="2E040C0E" w14:textId="201EC44B" w:rsidR="009A37AD" w:rsidRPr="005060CB" w:rsidRDefault="009A37AD" w:rsidP="005060CB">
      <w:pPr>
        <w:pStyle w:val="Listenabsatz"/>
        <w:numPr>
          <w:ilvl w:val="0"/>
          <w:numId w:val="1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Besuch der TTC, hier beim Felgen</w:t>
      </w:r>
      <w:r w:rsidR="00E82469">
        <w:rPr>
          <w:rFonts w:ascii="Calibri" w:hAnsi="Calibri"/>
          <w:sz w:val="22"/>
          <w:szCs w:val="22"/>
        </w:rPr>
        <w:t>-Hersteller Borbet</w:t>
      </w:r>
      <w:r w:rsidR="00BE30EF">
        <w:rPr>
          <w:rFonts w:ascii="Calibri" w:hAnsi="Calibri"/>
          <w:sz w:val="22"/>
          <w:szCs w:val="22"/>
        </w:rPr>
        <w:t>, dem BRV-Stand und bei Würth im Bereich Werkstatt live.</w:t>
      </w:r>
    </w:p>
    <w:p w14:paraId="599EA748" w14:textId="77777777" w:rsidR="00E82469" w:rsidRDefault="00E82469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C84028F" w14:textId="0292ED1A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7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 w:rsidRPr="00F96131">
        <w:rPr>
          <w:rStyle w:val="Hyperlink"/>
          <w:rFonts w:ascii="Calibri" w:hAnsi="Calibri"/>
          <w:color w:val="auto"/>
          <w:sz w:val="22"/>
          <w:szCs w:val="22"/>
          <w:highlight w:val="green"/>
          <w:u w:val="none"/>
        </w:rPr>
        <w:t>.</w:t>
      </w:r>
      <w:r w:rsidR="00517A4A">
        <w:rPr>
          <w:rStyle w:val="Hyperlink"/>
          <w:rFonts w:ascii="Calibri" w:hAnsi="Calibri"/>
          <w:sz w:val="22"/>
          <w:szCs w:val="22"/>
        </w:rPr>
        <w:t xml:space="preserve">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CC1F79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CC1F79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CC1F79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CC1F79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CC1F79" w:rsidRDefault="009443B5" w:rsidP="009443B5">
      <w:pPr>
        <w:rPr>
          <w:rFonts w:ascii="Verdana" w:hAnsi="Verdana"/>
          <w:sz w:val="18"/>
          <w:szCs w:val="18"/>
        </w:rPr>
      </w:pPr>
      <w:r w:rsidRPr="00CC1F79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CC1F79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CC1F79" w:rsidRDefault="009443B5" w:rsidP="009443B5">
      <w:pPr>
        <w:rPr>
          <w:rFonts w:ascii="Verdana" w:hAnsi="Verdana"/>
          <w:sz w:val="18"/>
          <w:szCs w:val="18"/>
        </w:rPr>
      </w:pPr>
      <w:r w:rsidRPr="00CC1F79">
        <w:rPr>
          <w:rFonts w:ascii="Verdana" w:hAnsi="Verdana"/>
          <w:sz w:val="18"/>
          <w:szCs w:val="18"/>
        </w:rPr>
        <w:lastRenderedPageBreak/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0721D5" w:rsidP="009443B5">
      <w:pPr>
        <w:rPr>
          <w:rFonts w:ascii="Verdana" w:hAnsi="Verdana"/>
          <w:sz w:val="18"/>
          <w:szCs w:val="18"/>
        </w:rPr>
      </w:pPr>
      <w:hyperlink r:id="rId8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Goran Zubanovic,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A5D7E"/>
    <w:multiLevelType w:val="hybridMultilevel"/>
    <w:tmpl w:val="851CF02A"/>
    <w:lvl w:ilvl="0" w:tplc="1024A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42663"/>
    <w:rsid w:val="000721D5"/>
    <w:rsid w:val="00095902"/>
    <w:rsid w:val="000A06CD"/>
    <w:rsid w:val="00132134"/>
    <w:rsid w:val="00156905"/>
    <w:rsid w:val="001C2ECC"/>
    <w:rsid w:val="002B7DC7"/>
    <w:rsid w:val="002E2DC2"/>
    <w:rsid w:val="00320623"/>
    <w:rsid w:val="003249F1"/>
    <w:rsid w:val="00366EEB"/>
    <w:rsid w:val="003A13D6"/>
    <w:rsid w:val="004105BD"/>
    <w:rsid w:val="00412392"/>
    <w:rsid w:val="00430CCB"/>
    <w:rsid w:val="00457D27"/>
    <w:rsid w:val="004D09FA"/>
    <w:rsid w:val="004F7A06"/>
    <w:rsid w:val="005060CB"/>
    <w:rsid w:val="00514B93"/>
    <w:rsid w:val="00517A4A"/>
    <w:rsid w:val="00594439"/>
    <w:rsid w:val="005D215A"/>
    <w:rsid w:val="00656B18"/>
    <w:rsid w:val="00697D96"/>
    <w:rsid w:val="006A766D"/>
    <w:rsid w:val="0072262E"/>
    <w:rsid w:val="007422EF"/>
    <w:rsid w:val="00760B24"/>
    <w:rsid w:val="007A7D95"/>
    <w:rsid w:val="007D383F"/>
    <w:rsid w:val="008D49A6"/>
    <w:rsid w:val="009443B5"/>
    <w:rsid w:val="00963630"/>
    <w:rsid w:val="009A37AD"/>
    <w:rsid w:val="009C53D5"/>
    <w:rsid w:val="009F6AD5"/>
    <w:rsid w:val="00A02453"/>
    <w:rsid w:val="00B91E2F"/>
    <w:rsid w:val="00BA33CA"/>
    <w:rsid w:val="00BB047E"/>
    <w:rsid w:val="00BE30EF"/>
    <w:rsid w:val="00BE7378"/>
    <w:rsid w:val="00C1104B"/>
    <w:rsid w:val="00C73BEB"/>
    <w:rsid w:val="00CC1F79"/>
    <w:rsid w:val="00CC75E0"/>
    <w:rsid w:val="00CE3434"/>
    <w:rsid w:val="00D04CFE"/>
    <w:rsid w:val="00D07318"/>
    <w:rsid w:val="00D935E8"/>
    <w:rsid w:val="00DA0A2E"/>
    <w:rsid w:val="00E82469"/>
    <w:rsid w:val="00E9336C"/>
    <w:rsid w:val="00EF22D3"/>
    <w:rsid w:val="00F10C7E"/>
    <w:rsid w:val="00F20273"/>
    <w:rsid w:val="00F96131"/>
    <w:rsid w:val="00FA592B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character" w:customStyle="1" w:styleId="white-space-pre">
    <w:name w:val="white-space-pre"/>
    <w:basedOn w:val="Absatz-Standardschriftart"/>
    <w:rsid w:val="00DA0A2E"/>
  </w:style>
  <w:style w:type="paragraph" w:styleId="Listenabsatz">
    <w:name w:val="List Paragraph"/>
    <w:basedOn w:val="Standard"/>
    <w:uiPriority w:val="34"/>
    <w:qFormat/>
    <w:rsid w:val="0050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reck@g-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-r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company/bundesverband-reifenhandel-und-vulkaniseur-handwerk-e-v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86B96.6C8A9E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cp:lastPrinted>2024-06-10T12:20:00Z</cp:lastPrinted>
  <dcterms:created xsi:type="dcterms:W3CDTF">2024-06-11T11:18:00Z</dcterms:created>
  <dcterms:modified xsi:type="dcterms:W3CDTF">2024-06-11T11:18:00Z</dcterms:modified>
</cp:coreProperties>
</file>